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66EE">
      <w:pPr>
        <w:pStyle w:val="ac"/>
      </w:pPr>
      <w:r>
        <w:t xml:space="preserve">Проект Договора уступки прав требований путем их продажи </w:t>
      </w:r>
    </w:p>
    <w:p w:rsidR="00000000" w:rsidRDefault="006066EE">
      <w:pPr>
        <w:jc w:val="center"/>
        <w:rPr>
          <w:b/>
          <w:bCs/>
        </w:rPr>
      </w:pPr>
    </w:p>
    <w:p w:rsidR="00000000" w:rsidRDefault="006066EE">
      <w:pPr>
        <w:tabs>
          <w:tab w:val="left" w:pos="7200"/>
        </w:tabs>
      </w:pPr>
      <w:r>
        <w:t>г. Тверь</w:t>
      </w:r>
      <w:r>
        <w:t xml:space="preserve">                                                                                                    ___________________ 2012г.</w:t>
      </w:r>
    </w:p>
    <w:p w:rsidR="00000000" w:rsidRDefault="006066EE">
      <w:pPr>
        <w:tabs>
          <w:tab w:val="left" w:pos="7200"/>
        </w:tabs>
      </w:pPr>
    </w:p>
    <w:p w:rsidR="00000000" w:rsidRDefault="006066EE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в лице директора ___, действующего на основании Устава, именуемый в дальнейшем Покупатель (Цессионарий), с одной </w:t>
      </w:r>
      <w:r>
        <w:rPr>
          <w:rFonts w:ascii="Times New Roman" w:hAnsi="Times New Roman" w:cs="Times New Roman"/>
          <w:sz w:val="24"/>
          <w:szCs w:val="24"/>
        </w:rPr>
        <w:t>стороны, и</w:t>
      </w:r>
    </w:p>
    <w:p w:rsidR="00000000" w:rsidRDefault="006066EE">
      <w:pPr>
        <w:jc w:val="both"/>
      </w:pPr>
      <w:r>
        <w:tab/>
      </w:r>
      <w:r>
        <w:rPr>
          <w:b/>
          <w:bCs/>
        </w:rPr>
        <w:t>ООО «Элеком Тверь»</w:t>
      </w:r>
      <w:r>
        <w:t xml:space="preserve">, в лице конкурсного управляющего Четверкина Георгия Константиновича, действующего на основании </w:t>
      </w:r>
      <w:r>
        <w:rPr>
          <w:color w:val="000000"/>
        </w:rPr>
        <w:t xml:space="preserve">Решения  Арбитражного суда Тверской области </w:t>
      </w:r>
      <w:r>
        <w:t>делу № А66-7406/2010 от 25.02.2011года, именуемый в дальнейшем Продавец (Цедент), с др</w:t>
      </w:r>
      <w:r>
        <w:t>угой стороны, заключили настоящий договор о нижеследующем:</w:t>
      </w:r>
    </w:p>
    <w:p w:rsidR="00000000" w:rsidRDefault="006066EE">
      <w:pPr>
        <w:pStyle w:val="31"/>
        <w:ind w:left="360"/>
        <w:rPr>
          <w:sz w:val="24"/>
          <w:szCs w:val="24"/>
        </w:rPr>
      </w:pPr>
    </w:p>
    <w:p w:rsidR="00000000" w:rsidRDefault="006066EE">
      <w:pPr>
        <w:tabs>
          <w:tab w:val="left" w:pos="7200"/>
        </w:tabs>
        <w:ind w:firstLine="540"/>
        <w:jc w:val="both"/>
      </w:pPr>
    </w:p>
    <w:p w:rsidR="00000000" w:rsidRDefault="006066E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ПРЕДМЕТ ДОГОВОРА.</w:t>
      </w:r>
    </w:p>
    <w:p w:rsidR="00000000" w:rsidRDefault="006066EE">
      <w:pPr>
        <w:pStyle w:val="1"/>
        <w:numPr>
          <w:ilvl w:val="1"/>
          <w:numId w:val="12"/>
        </w:numPr>
        <w:ind w:left="567" w:hanging="567"/>
        <w:jc w:val="both"/>
        <w:rPr>
          <w:b w:val="0"/>
          <w:bCs w:val="0"/>
        </w:rPr>
      </w:pPr>
      <w:r>
        <w:rPr>
          <w:b w:val="0"/>
          <w:bCs w:val="0"/>
        </w:rPr>
        <w:t>Настоящий договор заключен по результатам аукциона назначенного на 10.02.2012 года по продажи имущества ООО «Элеком Тверь» в соответствии  с Положением о порядке, сроках</w:t>
      </w:r>
      <w:r>
        <w:rPr>
          <w:b w:val="0"/>
          <w:bCs w:val="0"/>
        </w:rPr>
        <w:t xml:space="preserve"> и условиях продажи имущества должника ООО «Элеком Тверь», утвержденным собранием кредиторов 25.11.2011г.</w:t>
      </w:r>
    </w:p>
    <w:p w:rsidR="00000000" w:rsidRDefault="006066EE">
      <w:pPr>
        <w:pStyle w:val="1"/>
        <w:numPr>
          <w:ilvl w:val="1"/>
          <w:numId w:val="12"/>
        </w:numPr>
        <w:ind w:left="567" w:hanging="567"/>
        <w:jc w:val="both"/>
        <w:rPr>
          <w:b w:val="0"/>
          <w:bCs w:val="0"/>
        </w:rPr>
      </w:pPr>
      <w:r>
        <w:rPr>
          <w:b w:val="0"/>
          <w:bCs w:val="0"/>
        </w:rPr>
        <w:t xml:space="preserve">По настоящему договору Продавец (Цедент) на возмездной основе уступает, а Покупатель (Цессионарий) принимает в полном объеме права и обязанности </w:t>
      </w:r>
      <w:r>
        <w:rPr>
          <w:b w:val="0"/>
          <w:bCs w:val="0"/>
        </w:rPr>
        <w:t>Цедента как кредитора по Договорам займа №1/11 от 16.02.2011г., №3/10 от 27.12.2010г. (далее – Договора), заключенных между Цедентом и физическим лицом Поляковым Э.Л. (г. Тверь, Мигаловская наб., д. 9, кв. 48) (именуемый далее «Должник»).</w:t>
      </w:r>
    </w:p>
    <w:p w:rsidR="00000000" w:rsidRDefault="006066EE">
      <w:pPr>
        <w:pStyle w:val="1"/>
        <w:numPr>
          <w:ilvl w:val="1"/>
          <w:numId w:val="12"/>
        </w:numPr>
        <w:ind w:left="567" w:hanging="567"/>
        <w:jc w:val="both"/>
        <w:rPr>
          <w:b w:val="0"/>
          <w:bCs w:val="0"/>
        </w:rPr>
      </w:pPr>
      <w:r>
        <w:rPr>
          <w:b w:val="0"/>
          <w:bCs w:val="0"/>
        </w:rPr>
        <w:t>Сумма задолж</w:t>
      </w:r>
      <w:r>
        <w:rPr>
          <w:b w:val="0"/>
          <w:bCs w:val="0"/>
        </w:rPr>
        <w:t>енности уступаемая по настоящим договорам, составляет 5 345 000 (пять миллионов триста сорок пять тысяч) рублей. На момент подписания настоящего договора сумма долга не погашена в полном объеме, срок возврата наступил.</w:t>
      </w:r>
    </w:p>
    <w:p w:rsidR="00000000" w:rsidRDefault="006066EE">
      <w:pPr>
        <w:autoSpaceDE w:val="0"/>
        <w:autoSpaceDN w:val="0"/>
        <w:adjustRightInd w:val="0"/>
        <w:ind w:left="567" w:hanging="567"/>
        <w:jc w:val="both"/>
      </w:pPr>
      <w:r>
        <w:t>1.3. Уступаемые права переходят к Цес</w:t>
      </w:r>
      <w:r>
        <w:t>сионарий от Цедента с момента полной оплаты уступаемого требования в соответствии с разделом 3 настоящего договора.</w:t>
      </w:r>
    </w:p>
    <w:p w:rsidR="00000000" w:rsidRDefault="006066EE">
      <w:pPr>
        <w:autoSpaceDE w:val="0"/>
        <w:autoSpaceDN w:val="0"/>
        <w:adjustRightInd w:val="0"/>
        <w:jc w:val="center"/>
      </w:pPr>
    </w:p>
    <w:p w:rsidR="00000000" w:rsidRDefault="006066EE">
      <w:pPr>
        <w:pStyle w:val="a7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Права и обязанности сторон</w:t>
      </w:r>
    </w:p>
    <w:p w:rsidR="00000000" w:rsidRDefault="006066EE">
      <w:pPr>
        <w:pStyle w:val="a7"/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</w:pPr>
      <w:r>
        <w:t>Цедент обязан передать Цессионарию в 10-дневный срок все необходимые документы, удостоверяющие уступаемы</w:t>
      </w:r>
      <w:r>
        <w:t>е права, а именно, Договора займа №1/11 от 16.02.2011г., №3/10 от 27.12.2010г. со всеми приложениями и другими документами, являющимися его неотъемлемой частью.</w:t>
      </w:r>
    </w:p>
    <w:p w:rsidR="00000000" w:rsidRDefault="006066EE">
      <w:pPr>
        <w:pStyle w:val="a7"/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</w:pPr>
      <w:r>
        <w:t>Цедент обязан сообщить Цессионарию в тот же срок все иные сведения, имеющие значение для о</w:t>
      </w:r>
      <w:r>
        <w:t>существления Цессионарием своих прав по указанным Договорам.</w:t>
      </w:r>
    </w:p>
    <w:p w:rsidR="00000000" w:rsidRDefault="006066EE">
      <w:pPr>
        <w:pStyle w:val="a7"/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</w:pPr>
      <w:r>
        <w:t>Цедент обязуется в 10-дневный срок после подписания настоящего Договора уведомить Должника об уступке своих прав Цессионарию.</w:t>
      </w:r>
    </w:p>
    <w:p w:rsidR="00000000" w:rsidRDefault="006066EE">
      <w:pPr>
        <w:pStyle w:val="a7"/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</w:pPr>
      <w:r>
        <w:t>За уступаемые права Цессионарий обязан выплатить Цеденту де</w:t>
      </w:r>
      <w:r>
        <w:t>нежные средства в сумме, указанной в п. 3.1 настоящего Договора.</w:t>
      </w:r>
    </w:p>
    <w:p w:rsidR="00000000" w:rsidRDefault="006066EE">
      <w:pPr>
        <w:autoSpaceDE w:val="0"/>
        <w:autoSpaceDN w:val="0"/>
        <w:adjustRightInd w:val="0"/>
        <w:ind w:left="567" w:hanging="567"/>
        <w:jc w:val="both"/>
      </w:pPr>
    </w:p>
    <w:p w:rsidR="00000000" w:rsidRDefault="006066EE">
      <w:pPr>
        <w:pStyle w:val="a7"/>
        <w:numPr>
          <w:ilvl w:val="0"/>
          <w:numId w:val="12"/>
        </w:numPr>
        <w:jc w:val="center"/>
        <w:rPr>
          <w:b/>
          <w:bCs/>
        </w:rPr>
      </w:pPr>
      <w:r>
        <w:rPr>
          <w:b/>
          <w:bCs/>
        </w:rPr>
        <w:t>Сумма договора</w:t>
      </w:r>
    </w:p>
    <w:p w:rsidR="00000000" w:rsidRDefault="006066EE">
      <w:pPr>
        <w:pStyle w:val="a7"/>
        <w:numPr>
          <w:ilvl w:val="1"/>
          <w:numId w:val="12"/>
        </w:numPr>
        <w:tabs>
          <w:tab w:val="num" w:pos="567"/>
        </w:tabs>
        <w:jc w:val="both"/>
      </w:pPr>
      <w:r>
        <w:t xml:space="preserve">Стоимость передаваемого по настоящему Договору имущества составляет _______  рублей. </w:t>
      </w:r>
    </w:p>
    <w:p w:rsidR="00000000" w:rsidRDefault="006066EE">
      <w:pPr>
        <w:pStyle w:val="a7"/>
        <w:numPr>
          <w:ilvl w:val="1"/>
          <w:numId w:val="12"/>
        </w:numPr>
        <w:tabs>
          <w:tab w:val="num" w:pos="567"/>
        </w:tabs>
        <w:jc w:val="both"/>
      </w:pPr>
      <w:r>
        <w:t>Покупателем был оплачен задаток за участие в аукционе в размере 26 725 рубле</w:t>
      </w:r>
      <w:r>
        <w:t>й, который зачитывается в счет оплаты выкупной стоимости Имущества. Покупатель обязан оплатить остаток выкупной стоимости Имущества в размере ______________ рублей.</w:t>
      </w:r>
    </w:p>
    <w:p w:rsidR="00000000" w:rsidRDefault="006066EE">
      <w:pPr>
        <w:pStyle w:val="a7"/>
        <w:numPr>
          <w:ilvl w:val="1"/>
          <w:numId w:val="12"/>
        </w:numPr>
        <w:tabs>
          <w:tab w:val="num" w:pos="567"/>
        </w:tabs>
        <w:jc w:val="both"/>
      </w:pPr>
      <w:r>
        <w:t>Расчеты между Сторонами осуществляются путем внесения Покупателем денежных средств в б</w:t>
      </w:r>
      <w:r>
        <w:t>езналичном порядке на расчетный счет Продавца.</w:t>
      </w:r>
    </w:p>
    <w:p w:rsidR="00000000" w:rsidRDefault="006066EE">
      <w:pPr>
        <w:pStyle w:val="a7"/>
        <w:numPr>
          <w:ilvl w:val="1"/>
          <w:numId w:val="12"/>
        </w:numPr>
        <w:tabs>
          <w:tab w:val="num" w:pos="567"/>
        </w:tabs>
        <w:jc w:val="both"/>
      </w:pPr>
      <w:r>
        <w:t>Стоимость передаваемого по настоящему Договору Имущества подлежит внесению Покупателем на расчетный счет Продавца в срок не позднее 30 (тридцати) дней с момента подписания Сторонами настоящего Договора.</w:t>
      </w:r>
    </w:p>
    <w:p w:rsidR="00000000" w:rsidRDefault="006066EE">
      <w:pPr>
        <w:numPr>
          <w:ilvl w:val="0"/>
          <w:numId w:val="12"/>
        </w:numPr>
        <w:jc w:val="center"/>
        <w:rPr>
          <w:b/>
          <w:bCs/>
        </w:rPr>
      </w:pPr>
      <w:r>
        <w:rPr>
          <w:b/>
          <w:bCs/>
        </w:rPr>
        <w:t>Срок действия договора</w:t>
      </w:r>
    </w:p>
    <w:p w:rsidR="00000000" w:rsidRDefault="006066EE">
      <w:pPr>
        <w:tabs>
          <w:tab w:val="num" w:pos="180"/>
        </w:tabs>
        <w:jc w:val="both"/>
      </w:pPr>
      <w:r>
        <w:t>4.1. Настоящий Договор вступает в силу с момента его подписания и действует до полного исполнения взаимных обязательств по договору.</w:t>
      </w:r>
    </w:p>
    <w:p w:rsidR="00000000" w:rsidRDefault="006066EE">
      <w:pPr>
        <w:tabs>
          <w:tab w:val="num" w:pos="180"/>
        </w:tabs>
        <w:jc w:val="both"/>
      </w:pPr>
    </w:p>
    <w:p w:rsidR="00000000" w:rsidRDefault="006066EE">
      <w:pPr>
        <w:numPr>
          <w:ilvl w:val="0"/>
          <w:numId w:val="12"/>
        </w:numPr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000000" w:rsidRDefault="006066EE">
      <w:pPr>
        <w:tabs>
          <w:tab w:val="num" w:pos="-2160"/>
        </w:tabs>
        <w:jc w:val="both"/>
      </w:pPr>
      <w:r>
        <w:lastRenderedPageBreak/>
        <w:t>5.1. Цедент несет ответственность за недействительность уступаемых прав</w:t>
      </w:r>
      <w:r>
        <w:t>, а равно за их отсутствие (существование).</w:t>
      </w:r>
    </w:p>
    <w:p w:rsidR="00000000" w:rsidRDefault="006066EE">
      <w:pPr>
        <w:tabs>
          <w:tab w:val="num" w:pos="-2160"/>
        </w:tabs>
        <w:jc w:val="both"/>
      </w:pPr>
      <w:r>
        <w:t>5.2. Цедент не несет ответственности перед Цессионарием за исполнение обязательств Должником.</w:t>
      </w:r>
    </w:p>
    <w:p w:rsidR="00000000" w:rsidRDefault="006066EE">
      <w:pPr>
        <w:tabs>
          <w:tab w:val="num" w:pos="-2160"/>
        </w:tabs>
        <w:jc w:val="both"/>
      </w:pPr>
      <w:r>
        <w:t>5.3. Во всем остальном, что не предусмотрено настоящим Договором, стороны руководствуются действующим законодательство</w:t>
      </w:r>
      <w:r>
        <w:t>м РФ. При этом любая из сторон настоящего Договора, не исполнившая или ненадлежащим образом исполнившая обязательства по настоящему Договору, несет ответственность, если не докажет, что надлежащее исполнение оказалось невозможным вследствие действия непрео</w:t>
      </w:r>
      <w:r>
        <w:t>долимой силы.</w:t>
      </w:r>
    </w:p>
    <w:p w:rsidR="00000000" w:rsidRDefault="006066EE">
      <w:pPr>
        <w:tabs>
          <w:tab w:val="num" w:pos="-2160"/>
        </w:tabs>
        <w:jc w:val="both"/>
      </w:pPr>
    </w:p>
    <w:p w:rsidR="00000000" w:rsidRDefault="006066EE">
      <w:pPr>
        <w:numPr>
          <w:ilvl w:val="0"/>
          <w:numId w:val="12"/>
        </w:numPr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000000" w:rsidRDefault="006066EE">
      <w:pPr>
        <w:tabs>
          <w:tab w:val="num" w:pos="720"/>
        </w:tabs>
        <w:jc w:val="both"/>
      </w:pPr>
      <w:r>
        <w:t xml:space="preserve">6.1. Расторжение или отказ от выполнения настоящего Договора в одностороннем порядке не допускается. </w:t>
      </w:r>
    </w:p>
    <w:p w:rsidR="00000000" w:rsidRDefault="006066EE">
      <w:pPr>
        <w:tabs>
          <w:tab w:val="num" w:pos="720"/>
        </w:tabs>
        <w:jc w:val="both"/>
      </w:pPr>
      <w:r>
        <w:t>6.2. Все изменения и дополнения к настоящему Договору оформляются в письменном виде дополнительными соглашениям</w:t>
      </w:r>
      <w:r>
        <w:t>и и являются неотъемлемой частью договора.</w:t>
      </w:r>
    </w:p>
    <w:p w:rsidR="00000000" w:rsidRDefault="006066EE">
      <w:pPr>
        <w:autoSpaceDE w:val="0"/>
        <w:autoSpaceDN w:val="0"/>
        <w:adjustRightInd w:val="0"/>
        <w:jc w:val="both"/>
      </w:pPr>
      <w:r>
        <w:t>6.3. Настоящий Договор составлен в 3-х экземплярах, имеющих одинаковую юридическую силу, по одному для каждой из сторон и для Должника.</w:t>
      </w:r>
    </w:p>
    <w:p w:rsidR="00000000" w:rsidRDefault="006066EE"/>
    <w:p w:rsidR="00000000" w:rsidRDefault="006066EE">
      <w:pPr>
        <w:tabs>
          <w:tab w:val="left" w:pos="567"/>
        </w:tabs>
        <w:ind w:left="567" w:hanging="567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АДРЕСА И РЕКВИЗИТЫ СТОРОН.</w:t>
      </w:r>
    </w:p>
    <w:tbl>
      <w:tblPr>
        <w:tblpPr w:leftFromText="180" w:rightFromText="180" w:vertAnchor="page" w:horzAnchor="margin" w:tblpY="705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5040"/>
      </w:tblGrid>
      <w:tr w:rsidR="00000000">
        <w:trPr>
          <w:trHeight w:val="198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66EE">
            <w:pPr>
              <w:pStyle w:val="1"/>
              <w:jc w:val="center"/>
            </w:pPr>
            <w:r>
              <w:t>Покупатель (Цессионарий):</w:t>
            </w:r>
          </w:p>
          <w:p w:rsidR="00000000" w:rsidRDefault="006066EE"/>
          <w:p w:rsidR="00000000" w:rsidRDefault="006066EE">
            <w:pPr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066EE">
            <w:pPr>
              <w:pStyle w:val="1"/>
              <w:jc w:val="center"/>
            </w:pPr>
            <w:r>
              <w:t>Продавец (Цедент):</w:t>
            </w:r>
          </w:p>
          <w:p w:rsidR="00000000" w:rsidRDefault="006066EE">
            <w:pPr>
              <w:pStyle w:val="aa"/>
              <w:spacing w:after="0"/>
              <w:ind w:left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ООО «Элеком Тверь»</w:t>
            </w:r>
          </w:p>
          <w:p w:rsidR="00000000" w:rsidRDefault="006066EE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170100, г. Тверь, ул. Коминтерна, д. 107</w:t>
            </w:r>
          </w:p>
          <w:p w:rsidR="00000000" w:rsidRDefault="006066EE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6950013810/КПП 695001001,</w:t>
            </w:r>
          </w:p>
          <w:p w:rsidR="00000000" w:rsidRDefault="006066EE">
            <w:pPr>
              <w:pStyle w:val="aa"/>
              <w:spacing w:after="0"/>
              <w:ind w:left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р/с 40702810300110002081 Тверском ф</w:t>
            </w:r>
            <w:r>
              <w:rPr>
                <w:snapToGrid w:val="0"/>
                <w:sz w:val="22"/>
                <w:szCs w:val="22"/>
              </w:rPr>
              <w:t xml:space="preserve">илиале АБ «Россия», </w:t>
            </w:r>
          </w:p>
          <w:p w:rsidR="00000000" w:rsidRDefault="006066EE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БИК 042809794, к/с 30101810300000000794</w:t>
            </w:r>
          </w:p>
          <w:p w:rsidR="00000000" w:rsidRDefault="006066EE">
            <w:pPr>
              <w:pStyle w:val="aa"/>
              <w:spacing w:after="0"/>
              <w:ind w:left="0"/>
            </w:pPr>
          </w:p>
          <w:p w:rsidR="00000000" w:rsidRDefault="006066EE">
            <w:pPr>
              <w:pStyle w:val="aa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Конкурсный управляющий</w:t>
            </w:r>
          </w:p>
          <w:p w:rsidR="00000000" w:rsidRDefault="006066EE">
            <w:pPr>
              <w:pStyle w:val="aa"/>
              <w:spacing w:after="0"/>
              <w:ind w:left="0"/>
              <w:rPr>
                <w:b/>
                <w:bCs/>
              </w:rPr>
            </w:pPr>
          </w:p>
          <w:p w:rsidR="00000000" w:rsidRDefault="006066EE">
            <w:pPr>
              <w:pStyle w:val="aa"/>
              <w:spacing w:after="0"/>
              <w:ind w:left="0"/>
              <w:rPr>
                <w:b/>
                <w:bCs/>
              </w:rPr>
            </w:pPr>
          </w:p>
          <w:p w:rsidR="00000000" w:rsidRDefault="006066EE">
            <w:pPr>
              <w:pStyle w:val="aa"/>
              <w:spacing w:after="0"/>
              <w:ind w:left="0"/>
            </w:pPr>
            <w:r>
              <w:rPr>
                <w:b/>
                <w:bCs/>
              </w:rPr>
              <w:t>________________________ Г.К. Четверкин</w:t>
            </w:r>
          </w:p>
        </w:tc>
      </w:tr>
    </w:tbl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p w:rsidR="00000000" w:rsidRDefault="006066EE">
      <w:pPr>
        <w:tabs>
          <w:tab w:val="left" w:pos="900"/>
        </w:tabs>
        <w:jc w:val="both"/>
      </w:pPr>
    </w:p>
    <w:sectPr w:rsidR="00000000">
      <w:footerReference w:type="default" r:id="rId7"/>
      <w:pgSz w:w="11906" w:h="16838"/>
      <w:pgMar w:top="567" w:right="566" w:bottom="709" w:left="1260" w:header="709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066EE">
      <w:r>
        <w:separator/>
      </w:r>
    </w:p>
  </w:endnote>
  <w:endnote w:type="continuationSeparator" w:id="1">
    <w:p w:rsidR="00000000" w:rsidRDefault="0060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66EE">
    <w:pPr>
      <w:tabs>
        <w:tab w:val="left" w:pos="900"/>
      </w:tabs>
      <w:jc w:val="both"/>
    </w:pPr>
  </w:p>
  <w:p w:rsidR="00000000" w:rsidRDefault="006066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066EE">
      <w:r>
        <w:separator/>
      </w:r>
    </w:p>
  </w:footnote>
  <w:footnote w:type="continuationSeparator" w:id="1">
    <w:p w:rsidR="00000000" w:rsidRDefault="00606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CA"/>
    <w:multiLevelType w:val="multilevel"/>
    <w:tmpl w:val="38B86B2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104E2216"/>
    <w:multiLevelType w:val="multilevel"/>
    <w:tmpl w:val="9A2855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154777F0"/>
    <w:multiLevelType w:val="multilevel"/>
    <w:tmpl w:val="0EE831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D241906"/>
    <w:multiLevelType w:val="hybridMultilevel"/>
    <w:tmpl w:val="E7D692F8"/>
    <w:lvl w:ilvl="0" w:tplc="BBD2D7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</w:rPr>
    </w:lvl>
    <w:lvl w:ilvl="1" w:tplc="E2B84A7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263891F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5A8C360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A08EED0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E43C805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2392E69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86E0E66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AC7E05A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4">
    <w:nsid w:val="20B03399"/>
    <w:multiLevelType w:val="hybridMultilevel"/>
    <w:tmpl w:val="EFAA11A8"/>
    <w:lvl w:ilvl="0" w:tplc="37AE578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</w:rPr>
    </w:lvl>
    <w:lvl w:ilvl="1" w:tplc="76E0057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772E810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63BCB65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15C6B65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BF34BFB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61DE177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741A8DE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65E2249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5">
    <w:nsid w:val="2A01276E"/>
    <w:multiLevelType w:val="multilevel"/>
    <w:tmpl w:val="D41AA68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2D915A7A"/>
    <w:multiLevelType w:val="multilevel"/>
    <w:tmpl w:val="898A191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>
    <w:nsid w:val="2E5535CC"/>
    <w:multiLevelType w:val="hybridMultilevel"/>
    <w:tmpl w:val="1B0260BE"/>
    <w:lvl w:ilvl="0" w:tplc="7DD860C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8A765D2"/>
    <w:multiLevelType w:val="hybridMultilevel"/>
    <w:tmpl w:val="1024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49FE5B3B"/>
    <w:multiLevelType w:val="hybridMultilevel"/>
    <w:tmpl w:val="0862D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AFE3062"/>
    <w:multiLevelType w:val="hybridMultilevel"/>
    <w:tmpl w:val="DCAC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4EC063EB"/>
    <w:multiLevelType w:val="multilevel"/>
    <w:tmpl w:val="1A34954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5DB41CA0"/>
    <w:multiLevelType w:val="multilevel"/>
    <w:tmpl w:val="BA82A3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6E877988"/>
    <w:multiLevelType w:val="hybridMultilevel"/>
    <w:tmpl w:val="60BEDC38"/>
    <w:lvl w:ilvl="0" w:tplc="7DD86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34B5F74"/>
    <w:multiLevelType w:val="multilevel"/>
    <w:tmpl w:val="FEF0CD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5">
    <w:nsid w:val="7713733C"/>
    <w:multiLevelType w:val="multilevel"/>
    <w:tmpl w:val="402C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15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6066EE"/>
    <w:rsid w:val="0060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pPr>
      <w:ind w:left="708"/>
    </w:pPr>
  </w:style>
  <w:style w:type="paragraph" w:styleId="3">
    <w:name w:val="Body Text 3"/>
    <w:basedOn w:val="a"/>
    <w:link w:val="30"/>
    <w:uiPriority w:val="99"/>
    <w:pPr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a0"/>
    <w:uiPriority w:val="99"/>
    <w:rPr>
      <w:rFonts w:ascii="Arial" w:hAnsi="Arial" w:cs="Arial"/>
      <w:color w:val="000000"/>
    </w:rPr>
  </w:style>
  <w:style w:type="character" w:customStyle="1" w:styleId="Heading1Char">
    <w:name w:val="Heading 1 Char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Pr>
      <w:rFonts w:ascii="Times New Roman" w:hAnsi="Times New Roman" w:cs="Times New Roman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c">
    <w:name w:val="Title"/>
    <w:basedOn w:val="a"/>
    <w:link w:val="ad"/>
    <w:uiPriority w:val="99"/>
    <w:qFormat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uY151D6bL6iYo4JW028H2bOnJHiPWkNXvwMHfvj5sdw=</DigestValue>
    </Reference>
    <Reference URI="#idOfficeObject" Type="http://www.w3.org/2000/09/xmldsig#Object">
      <DigestMethod Algorithm="http://www.w3.org/2001/04/xmldsig-more#gostr3411"/>
      <DigestValue>Yx14wHUn1AZ7yMnn182yZrAo69tGVUFTY4P/WUQbJr4=</DigestValue>
    </Reference>
  </SignedInfo>
  <SignatureValue>
    q/OCP/x8JtRcOx/mlfHW8EP8MIXedGaavka4vtBRGxaXRXA0zwmylqlqngXiEoQi+NQeYwvG
    7dSTkF9I5UdcqQ==
  </SignatureValue>
  <KeyInfo>
    <KeyValue>
      <RSAKeyValue>
        <Modulus>
            Y3CaGdueR5JQCDsc4Sxo3FJo97BAhY24WNav8nDIOL7WUEbzRAIykfN12cZiOJe2AR4CAgOF
            KgcGACQCAgOFKg==
          </Modulus>
        <Exponent>BwYSMA==</Exponent>
      </RSAKeyValue>
    </KeyValue>
    <X509Data>
      <X509Certificate>
          MIIFjzCCBT6gAwIBAgIKHslOwQAAAABUqDAIBgYqhQMCAgMwggEEMR4wHAYJKoZIhvcNAQkB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MRswGQYDVQQDExJVQyBTS0IgS29udHVyIChHVCkwHhcNMTEwNTE4MTI0NDAwWhcNMTIwNTE4
          MTI0NDAwWjCCAXMxJDAiBgkqhkiG9w0BCQEWFWNoZXR2ZXJraW5fZ2tAbWFpbC5ydTELMAkG
          A1UEBhMCUlUxKDAmBgNVBAgMH9Ci0LLQtdGA0YHQutCw0Y8g0L7QsdC70LDRgdGC0YwxEzAR
          BgNVBAcMCtCi0LLQtdGA0YwxTDBKBgNVBAoMQ9CY0J8g0KfQtdGC0LLQtdGA0LrQuNC9INCT
          0LXQvtGA0LPQuNC5INCa0L7QvdGB0YLQsNC90YLQuNC90L7QstC40YcxRzBFBgNVBAMMPtCn
          0LXRgtCy0LXRgNC60LjQvSDQk9C10L7RgNCz0LjQuSDQmtC+0L3RgdGC0LDQvdGC0LjQvdC+
          0LLQuNGHMR8wHQYJKoZIhvcNAQkCDBBJTk49NjkwMTAwNzY1ODk2MUcwRQYDVQQEDD7Qp9C1
          0YLQstC10YDQutC40L0g0JPQtdC+0YDQs9C40Lkg0JrQvtC90YHRgtCw0L3RgtC40L3QvtCy
          0LjRhzBjMBwGBiqFAwICEzASBgcqhQMCAiQABgcqhQMCAh4BA0MABEC2lzhixtl185EyAkTz
          RlDWvjjIcPKv1li4jYVAsPdoUtxoLOEcOwhQkkee2xmacGPGX/c5Gy1b43YzZ7D+v0qEo4IC
          GzCCAhcwDgYDVR0PAQH/BAQDAgTwMGoGA1UdJQRjMGEGCCsGAQUFBwMCBggrBgEFBQcDBAYH
          KoUDAgIiBgYHKoUDBgMBAQYHKoUDAwcFRgYIKoUDBgMBAwEGCCqFAwYDAQIDBggqhQMGAwEE
          AQYIKoUDBgMBBAIGCCqFAwYDAQQDMCAGA1UdEQQZMBeBFWNoZXR2ZXJraW5fZ2tAbWFpbC5y
          dTAdBgNVHQ4EFgQUp8qJAUScFSVS9zt4y+HrDICqexswHwYDVR0jBBgwFoAULbUtRkTb/TpN
          R/ccDqTdeBTJsAUwbgYDVR0fBGcwZTBjoGGgX4YtaHR0cDovL2NhLnNrYmtvbnR1ci5ydS9j
          ZHAva29udHVyLWd0LTIwMTAuY3Jshi5odHRwOi8vY2RwLnNrYmtvbnR1ci5ydS9jZHAva29u
          dHVyLWd0LTIwMTAuY3JsMIGZBggrBgEFBQcBAQSBjDCBiTBCBggrBgEFBQcwAoY2aHR0cDov
          L2NhLnNrYmtvbnR1ci5ydS9jZXJ0aWZpY2F0ZXMva29udHVyLWd0LTIwMTAuY3J0MEMGCCsG
          AQUFBzAChjdodHRwOi8vY2RwLnNrYmtvbnR1ci5ydS9jZXJ0aWZpY2F0ZXMva29udHVyLWd0
          LTIwMTAuY3J0MCsGA1UdEAQkMCKADzIwMTEwNTE4MTI0NDAwWoEPMjAxMjA1MTcxMjM5MDBa
          MAgGBiqFAwICAwNBAPmEbjFX6JgfyQLHJC1lQG8QNF6gZAkhC1+x6vax6JoxYpx2+4Hhh9jE
          TfaZva+qwVQnChYP526h9dShgFd4RYQ=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MJzJFIBle4OgsEKZ/v0STMAlULw=</DigestValue>
      </Reference>
      <Reference URI="/word/endnotes.xml?ContentType=application/vnd.openxmlformats-officedocument.wordprocessingml.endnotes+xml">
        <DigestMethod Algorithm="http://www.w3.org/2000/09/xmldsig#sha1"/>
        <DigestValue>xCW5wRyYHepfcvgldNX1PYSOrdM=</DigestValue>
      </Reference>
      <Reference URI="/word/fontTable.xml?ContentType=application/vnd.openxmlformats-officedocument.wordprocessingml.fontTable+xml">
        <DigestMethod Algorithm="http://www.w3.org/2000/09/xmldsig#sha1"/>
        <DigestValue>T8mBowfLH1ojIcOuUogOU5eHjXE=</DigestValue>
      </Reference>
      <Reference URI="/word/footer1.xml?ContentType=application/vnd.openxmlformats-officedocument.wordprocessingml.footer+xml">
        <DigestMethod Algorithm="http://www.w3.org/2000/09/xmldsig#sha1"/>
        <DigestValue>M6Q2VKuGKDI1HQYdcDiMbGdxdn8=</DigestValue>
      </Reference>
      <Reference URI="/word/footnotes.xml?ContentType=application/vnd.openxmlformats-officedocument.wordprocessingml.footnotes+xml">
        <DigestMethod Algorithm="http://www.w3.org/2000/09/xmldsig#sha1"/>
        <DigestValue>Y0Ejxk2IqbZg83HmTfm4VsmBjQ4=</DigestValue>
      </Reference>
      <Reference URI="/word/numbering.xml?ContentType=application/vnd.openxmlformats-officedocument.wordprocessingml.numbering+xml">
        <DigestMethod Algorithm="http://www.w3.org/2000/09/xmldsig#sha1"/>
        <DigestValue>b/fmsZFbTBzzkmiLTYr0xqLuNVA=</DigestValue>
      </Reference>
      <Reference URI="/word/settings.xml?ContentType=application/vnd.openxmlformats-officedocument.wordprocessingml.settings+xml">
        <DigestMethod Algorithm="http://www.w3.org/2000/09/xmldsig#sha1"/>
        <DigestValue>KU8Yyt6lRPtugTQHrT6ItIPqjAc=</DigestValue>
      </Reference>
      <Reference URI="/word/styles.xml?ContentType=application/vnd.openxmlformats-officedocument.wordprocessingml.styles+xml">
        <DigestMethod Algorithm="http://www.w3.org/2000/09/xmldsig#sha1"/>
        <DigestValue>yJ1IL8vVAsVW7fA7WM+kf5xPi1U=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2011-12-22T09:18:16Z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3932</Characters>
  <Application>Microsoft Office Word</Application>
  <DocSecurity>0</DocSecurity>
  <Lines>32</Lines>
  <Paragraphs>9</Paragraphs>
  <ScaleCrop>false</ScaleCrop>
  <Company>404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 7 Morey</dc:creator>
  <cp:lastModifiedBy>Абагов</cp:lastModifiedBy>
  <cp:revision>2</cp:revision>
  <cp:lastPrinted>2011-03-31T06:23:00Z</cp:lastPrinted>
  <dcterms:created xsi:type="dcterms:W3CDTF">2011-12-22T09:18:00Z</dcterms:created>
  <dcterms:modified xsi:type="dcterms:W3CDTF">2011-12-22T09:18:00Z</dcterms:modified>
</cp:coreProperties>
</file>